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R4-2503850</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p>
    <w:p>
      <w:pPr>
        <w:pStyle w:val="14"/>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7.21.1</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5"/>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5"/>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5"/>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5"/>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5"/>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5"/>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 xml:space="preserve">In previous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rFonts w:hint="eastAsia" w:eastAsia="宋体"/>
                <w:b/>
                <w:bCs/>
                <w:u w:val="single"/>
                <w:lang w:val="en-US" w:eastAsia="zh-CN"/>
              </w:rPr>
              <w:t>RAN4#112bis</w:t>
            </w:r>
            <w:r>
              <w:rPr>
                <w:b/>
                <w:bCs/>
                <w:u w:val="single"/>
                <w:lang w:val="en-US"/>
              </w:rPr>
              <w:t>: Priorities of different use cases</w:t>
            </w: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6"/>
              </w:numPr>
              <w:overflowPunct/>
              <w:autoSpaceDE/>
              <w:autoSpaceDN/>
              <w:adjustRightInd/>
              <w:snapToGrid w:val="0"/>
              <w:spacing w:after="120"/>
              <w:ind w:firstLineChars="0"/>
              <w:textAlignment w:val="auto"/>
              <w:rPr>
                <w:szCs w:val="21"/>
                <w:highlight w:val="none"/>
              </w:rPr>
            </w:pPr>
            <w:r>
              <w:rPr>
                <w:szCs w:val="21"/>
                <w:highlight w:val="none"/>
              </w:rPr>
              <w:t>RAN4 to start the discussion with RRM measurement prediction use-case from RAN4 #112bis meeting.</w:t>
            </w:r>
          </w:p>
          <w:p>
            <w:pPr>
              <w:spacing w:after="120"/>
              <w:rPr>
                <w:color w:val="000000" w:themeColor="text1"/>
                <w:szCs w:val="24"/>
                <w:highlight w:val="none"/>
                <w:lang w:eastAsia="zh-CN"/>
                <w14:textFill>
                  <w14:solidFill>
                    <w14:schemeClr w14:val="tx1"/>
                  </w14:solidFill>
                </w14:textFill>
              </w:rPr>
            </w:pP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6"/>
              </w:numPr>
              <w:overflowPunct/>
              <w:autoSpaceDE/>
              <w:autoSpaceDN/>
              <w:adjustRightInd/>
              <w:snapToGrid w:val="0"/>
              <w:spacing w:after="120"/>
              <w:ind w:firstLineChars="0"/>
              <w:textAlignment w:val="auto"/>
              <w:rPr>
                <w:szCs w:val="21"/>
                <w:highlight w:val="none"/>
              </w:rPr>
            </w:pPr>
            <w:r>
              <w:rPr>
                <w:szCs w:val="21"/>
                <w:highlight w:val="none"/>
              </w:rPr>
              <w:t>RAN4 to only start the discussion of Measurement event prediction use-case and</w:t>
            </w:r>
            <w:r>
              <w:rPr>
                <w:bCs/>
                <w:szCs w:val="21"/>
                <w:highlight w:val="none"/>
              </w:rPr>
              <w:t xml:space="preserve"> RLF use-case</w:t>
            </w:r>
            <w:r>
              <w:rPr>
                <w:szCs w:val="21"/>
                <w:highlight w:val="none"/>
              </w:rPr>
              <w:t xml:space="preserve"> if sufficient progress in RAN2.</w:t>
            </w:r>
          </w:p>
          <w:p>
            <w:pPr>
              <w:pStyle w:val="28"/>
              <w:numPr>
                <w:ilvl w:val="1"/>
                <w:numId w:val="6"/>
              </w:numPr>
              <w:overflowPunct/>
              <w:autoSpaceDE/>
              <w:autoSpaceDN/>
              <w:adjustRightInd/>
              <w:snapToGrid w:val="0"/>
              <w:spacing w:after="120"/>
              <w:ind w:firstLineChars="0"/>
              <w:textAlignment w:val="auto"/>
              <w:rPr>
                <w:szCs w:val="21"/>
                <w:highlight w:val="none"/>
              </w:rPr>
            </w:pPr>
            <w:r>
              <w:rPr>
                <w:rFonts w:hint="eastAsia"/>
                <w:szCs w:val="21"/>
                <w:highlight w:val="none"/>
              </w:rPr>
              <w:t>T</w:t>
            </w:r>
            <w:r>
              <w:rPr>
                <w:szCs w:val="21"/>
                <w:highlight w:val="none"/>
              </w:rPr>
              <w:t>he earliest time to start the discussion for Measurement event prediction use-case is RAN4#114 meeting (Feb 2025).</w:t>
            </w:r>
          </w:p>
          <w:p>
            <w:pPr>
              <w:pStyle w:val="28"/>
              <w:numPr>
                <w:ilvl w:val="1"/>
                <w:numId w:val="6"/>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 xml:space="preserve">he earliest time to start the discussion for </w:t>
            </w:r>
            <w:r>
              <w:rPr>
                <w:bCs/>
                <w:szCs w:val="21"/>
                <w:highlight w:val="green"/>
              </w:rPr>
              <w:t xml:space="preserve">RLF use-case is </w:t>
            </w:r>
            <w:r>
              <w:rPr>
                <w:szCs w:val="21"/>
                <w:highlight w:val="green"/>
              </w:rPr>
              <w:t>from RAN4#114bis meeting (Apr 2025).</w:t>
            </w:r>
          </w:p>
          <w:p>
            <w:pPr>
              <w:pStyle w:val="57"/>
              <w:numPr>
                <w:ilvl w:val="-1"/>
                <w:numId w:val="0"/>
              </w:numPr>
              <w:ind w:left="0" w:firstLine="0"/>
              <w:rPr>
                <w:rFonts w:hint="default" w:eastAsia="宋体"/>
                <w:lang w:val="en-US" w:eastAsia="zh-CN"/>
              </w:rPr>
            </w:pPr>
          </w:p>
        </w:tc>
      </w:tr>
    </w:tbl>
    <w:p>
      <w:pPr>
        <w:spacing w:after="157" w:afterLines="50"/>
        <w:rPr>
          <w:rFonts w:hint="eastAsia"/>
          <w:iCs/>
          <w:lang w:val="en-US" w:eastAsia="zh-CN"/>
        </w:rPr>
      </w:pPr>
      <w:r>
        <w:rPr>
          <w:rFonts w:hint="eastAsia"/>
          <w:iCs/>
          <w:lang w:val="en-US" w:eastAsia="zh-CN"/>
        </w:rPr>
        <w:t>According to the discussion on RAN2, they have reached consensus that RLF prediction would not be studied in R19 due to there is no enough time about RLF. In RAN4#112bis, we agreed that RAN4 to only start the discussion of RLF use-case if sufficient progress in RAN2. therefore, RAN4 should align with RAN2 and RLF prediction will not be considered in rel-19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ind w:left="0" w:firstLine="0"/>
              <w:rPr>
                <w:b/>
                <w:bCs/>
              </w:rPr>
            </w:pPr>
            <w:r>
              <w:rPr>
                <w:b/>
                <w:bCs/>
              </w:rPr>
              <w:t xml:space="preserve">Agreements on priority </w:t>
            </w:r>
          </w:p>
          <w:p>
            <w:pPr>
              <w:pStyle w:val="57"/>
              <w:numPr>
                <w:ilvl w:val="0"/>
                <w:numId w:val="7"/>
              </w:numPr>
              <w:ind w:left="0" w:firstLine="0"/>
              <w:rPr/>
            </w:pPr>
            <w:r>
              <w:t>RLF prediction will not be studied in Rel-19</w:t>
            </w:r>
          </w:p>
          <w:p>
            <w:pPr>
              <w:pStyle w:val="57"/>
              <w:numPr>
                <w:ilvl w:val="0"/>
                <w:numId w:val="7"/>
              </w:numPr>
              <w:ind w:left="0" w:firstLine="0"/>
              <w:rPr/>
            </w:pPr>
            <w:r>
              <w:t xml:space="preserve">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p>
            <w:pPr>
              <w:pStyle w:val="57"/>
              <w:numPr>
                <w:ilvl w:val="0"/>
                <w:numId w:val="7"/>
              </w:numPr>
              <w:ind w:left="0" w:firstLine="0"/>
              <w:rPr/>
            </w:pPr>
            <w:r>
              <w:t>Continue with generalization across cell configurations for RRM prediction</w:t>
            </w:r>
          </w:p>
          <w:p>
            <w:pPr>
              <w:pStyle w:val="57"/>
              <w:numPr>
                <w:ilvl w:val="0"/>
                <w:numId w:val="7"/>
              </w:numPr>
              <w:ind w:left="0" w:firstLine="0"/>
              <w:rPr/>
            </w:pPr>
            <w:r>
              <w:t xml:space="preserve">Continue with measurement events </w:t>
            </w:r>
          </w:p>
          <w:p>
            <w:pPr>
              <w:pStyle w:val="57"/>
              <w:numPr>
                <w:ilvl w:val="-1"/>
                <w:numId w:val="0"/>
              </w:numPr>
              <w:ind w:left="0" w:firstLine="0"/>
            </w:pPr>
          </w:p>
        </w:tc>
      </w:tr>
    </w:tbl>
    <w:p>
      <w:pPr>
        <w:spacing w:before="0" w:beforeLines="0" w:after="157" w:afterLines="50"/>
        <w:rPr>
          <w:rFonts w:hint="default"/>
          <w:b/>
          <w:bCs/>
          <w:iCs/>
          <w:lang w:val="en-US" w:eastAsia="zh-CN"/>
        </w:rPr>
      </w:pPr>
      <w:r>
        <w:rPr>
          <w:rFonts w:hint="eastAsia"/>
          <w:b/>
          <w:bCs/>
          <w:iCs/>
          <w:lang w:val="en-US" w:eastAsia="zh-CN"/>
        </w:rPr>
        <w:t>Proposal 1: Align with RAN2 and RLF prediction will not be studied in Rel-19.</w:t>
      </w:r>
    </w:p>
    <w:p>
      <w:pPr>
        <w:spacing w:before="0" w:beforeLines="0" w:after="157" w:after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before="157" w:beforeLines="50" w:after="157" w:after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after="157" w:afterLines="50"/>
        <w:ind w:left="0" w:firstLine="0"/>
        <w:rPr>
          <w:rFonts w:hint="eastAsia" w:eastAsia="宋体"/>
          <w:b/>
          <w:bCs/>
          <w:lang w:val="en-US" w:eastAsia="zh-CN"/>
        </w:rPr>
      </w:pPr>
      <w:r>
        <w:rPr>
          <w:rFonts w:hint="eastAsia" w:eastAsia="宋体"/>
          <w:b w:val="0"/>
          <w:bCs w:val="0"/>
          <w:lang w:val="en-US" w:eastAsia="zh-CN"/>
        </w:rPr>
        <w:t>we noticed that intra cell is mentioned in methodology. It needs to be clarified that intra cell prediction in RAN2 includes two scenarios: serving cell prediction for serving cells and neighbor cell prediction for neighbor cells. Therefore, RAN4 should consider both serving cell and neighbor cell measurment prediction for intra-cell.</w:t>
      </w:r>
    </w:p>
    <w:p>
      <w:pPr>
        <w:spacing w:after="157" w:afterLines="50"/>
        <w:rPr>
          <w:rFonts w:hint="default" w:eastAsia="Times New Roman"/>
          <w:b/>
          <w:bCs/>
          <w:color w:val="000000" w:themeColor="text1"/>
          <w:lang w:val="en-US" w:eastAsia="zh-CN"/>
          <w14:textFill>
            <w14:solidFill>
              <w14:schemeClr w14:val="tx1"/>
            </w14:solidFill>
          </w14:textFill>
        </w:rPr>
      </w:pPr>
      <w:r>
        <w:rPr>
          <w:rFonts w:hint="eastAsia" w:eastAsia="宋体"/>
          <w:b/>
          <w:bCs/>
          <w:lang w:val="en-US" w:eastAsia="zh-CN"/>
        </w:rPr>
        <w:t>Proposal 2: RAN4 should consider both serving cell and neighbor cell measurment prediction for intra-cell prediction. Specifically, serving cell (input) to predict the serving cell (output) and neigbour cell i (input) to predict the neigbour cell i (output).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before="0" w:beforeLines="0" w:after="157" w:afterLines="50"/>
        <w:rPr>
          <w:rFonts w:hint="default"/>
          <w:b/>
          <w:bCs/>
          <w:iCs/>
          <w:lang w:val="en-US" w:eastAsia="zh-CN"/>
        </w:rPr>
      </w:pPr>
      <w:r>
        <w:rPr>
          <w:rFonts w:hint="eastAsia"/>
          <w:b/>
          <w:bCs/>
          <w:iCs/>
          <w:lang w:val="en-US" w:eastAsia="zh-CN"/>
        </w:rPr>
        <w:t>Proposal 1: Align with RAN2 and RLF prediction will not be studied in Rel-19.</w:t>
      </w:r>
    </w:p>
    <w:p>
      <w:pPr>
        <w:spacing w:after="157" w:afterLines="50"/>
        <w:rPr>
          <w:rFonts w:eastAsia="宋体"/>
          <w:bCs/>
          <w:color w:val="auto"/>
          <w:sz w:val="20"/>
          <w:szCs w:val="20"/>
          <w:lang w:val="en-GB" w:eastAsia="zh-CN"/>
        </w:rPr>
      </w:pPr>
      <w:r>
        <w:rPr>
          <w:rFonts w:hint="eastAsia" w:eastAsia="宋体"/>
          <w:b/>
          <w:bCs/>
          <w:lang w:val="en-US" w:eastAsia="zh-CN"/>
        </w:rPr>
        <w:t>Proposal 2: RAN4 should consider both serving cell and neighbor cell measurment prediction for intra-cell prediction. Specifically, serving cell (input) to predict the serving cell (output) and neigbour cell i (input) to predict the neigbour cell i (output).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R4-2420095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25A3E1B"/>
    <w:multiLevelType w:val="singleLevel"/>
    <w:tmpl w:val="825A3E1B"/>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0146DC0"/>
    <w:multiLevelType w:val="multilevel"/>
    <w:tmpl w:val="70146DC0"/>
    <w:lvl w:ilvl="0" w:tentative="0">
      <w:start w:val="1"/>
      <w:numFmt w:val="bullet"/>
      <w:pStyle w:val="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7"/>
  </w:num>
  <w:num w:numId="4">
    <w:abstractNumId w:val="3"/>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5A9D"/>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 w:type="paragraph" w:customStyle="1" w:styleId="60">
    <w:name w:val="Agreement"/>
    <w:basedOn w:val="1"/>
    <w:next w:val="57"/>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2025-03-28T08:33:34Z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273DFB3C3943406E9970515F37ED7E1D</vt:lpwstr>
  </property>
</Properties>
</file>